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B" w:rsidRPr="0035477C" w:rsidRDefault="007A6FEB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35477C">
        <w:rPr>
          <w:rFonts w:asciiTheme="majorBidi" w:hAnsiTheme="majorBidi" w:cstheme="majorBidi"/>
          <w:color w:val="FF0000"/>
          <w:sz w:val="24"/>
          <w:szCs w:val="24"/>
        </w:rPr>
        <w:t>DAFTAR PUSTAKA BAB II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Pr="0035477C">
          <w:rPr>
            <w:rStyle w:val="Hyperlink"/>
            <w:rFonts w:asciiTheme="majorBidi" w:hAnsiTheme="majorBidi" w:cstheme="majorBidi"/>
            <w:sz w:val="24"/>
            <w:szCs w:val="24"/>
          </w:rPr>
          <w:t>http://iwak-pithik.blogspot.com/2012/03/sejarah-masuknya-islam-ke-indonesia.html</w:t>
        </w:r>
      </w:hyperlink>
      <w:r w:rsidRPr="0035477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9 April 2012, 15:35)</w:t>
      </w:r>
    </w:p>
    <w:p w:rsidR="007A6FEB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Suyono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</w:t>
      </w:r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Dunia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Mistik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Orang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Jawa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LKiS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2007),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68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Syam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i/>
          <w:sz w:val="24"/>
          <w:szCs w:val="24"/>
        </w:rPr>
        <w:t xml:space="preserve">Islam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Pesisir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LKiS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2005),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</w:t>
      </w:r>
      <w:r w:rsidRPr="0035477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5477C">
        <w:rPr>
          <w:rFonts w:asciiTheme="majorBidi" w:hAnsiTheme="majorBidi" w:cstheme="majorBidi"/>
          <w:sz w:val="24"/>
          <w:szCs w:val="24"/>
        </w:rPr>
        <w:t>5-6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Kusnadi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Jaminan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Nelayan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35477C">
        <w:rPr>
          <w:rFonts w:asciiTheme="majorBidi" w:hAnsiTheme="majorBidi" w:cstheme="majorBidi"/>
          <w:sz w:val="24"/>
          <w:szCs w:val="24"/>
        </w:rPr>
        <w:t>LKiS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:Yogyakarta,2007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95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Filsafat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Kajian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Filosofis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Nahdlatul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Watan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Lombok</w:t>
      </w:r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2010), hal.1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Munadji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1, 2004),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5-8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Mudyaharjo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Awal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Umumnya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2008),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3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Marzuki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Nonformal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( Bandung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: PT.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2010),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13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35477C">
          <w:rPr>
            <w:rStyle w:val="Hyperlink"/>
            <w:rFonts w:asciiTheme="majorBidi" w:hAnsiTheme="majorBidi" w:cstheme="majorBidi"/>
            <w:sz w:val="24"/>
            <w:szCs w:val="24"/>
          </w:rPr>
          <w:t>http://uharsputra.wordpress.com/pendidikan/pendidikan-nonformal/</w:t>
        </w:r>
      </w:hyperlink>
      <w:r w:rsidRPr="0035477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selasa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26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2011.13.45)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UU-RI No. 20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system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26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Mustofa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Kamil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nonformal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pusat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kegiatan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(PKBM)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Alfateta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2009),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17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Desmita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(Bandung, PT.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5477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2008),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107-108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lastRenderedPageBreak/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Lexi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Moeong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(Bandung, PT.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5477C">
        <w:rPr>
          <w:rFonts w:asciiTheme="majorBidi" w:hAnsiTheme="majorBidi" w:cstheme="majorBidi"/>
          <w:sz w:val="24"/>
          <w:szCs w:val="24"/>
        </w:rPr>
        <w:t>Rusdakarya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2006),</w:t>
      </w:r>
    </w:p>
    <w:p w:rsidR="00131FBC" w:rsidRPr="0035477C" w:rsidRDefault="00131FB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Uswah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wardiana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Bima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2004),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102-103</w:t>
      </w:r>
    </w:p>
    <w:p w:rsidR="00131FBC" w:rsidRPr="0035477C" w:rsidRDefault="00131FB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Loren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2000)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818</w:t>
      </w:r>
    </w:p>
    <w:p w:rsidR="0037425A" w:rsidRPr="0035477C" w:rsidRDefault="0037425A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Aziz,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Orientasi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System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Agama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2010),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5</w:t>
      </w:r>
    </w:p>
    <w:p w:rsidR="0037425A" w:rsidRPr="0035477C" w:rsidRDefault="0037425A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( Bandung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: PT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2005)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. 29 </w:t>
      </w:r>
    </w:p>
    <w:p w:rsidR="0037425A" w:rsidRPr="0035477C" w:rsidRDefault="0037425A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Mengefektifkan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( Bandung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: PT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75</w:t>
      </w:r>
    </w:p>
    <w:p w:rsidR="00131FBC" w:rsidRPr="0035477C" w:rsidRDefault="0037425A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Abdurrahman An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Nahlawi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Rumah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Masyarakat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1995),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136-137</w:t>
      </w:r>
    </w:p>
    <w:p w:rsidR="0037425A" w:rsidRPr="0035477C" w:rsidRDefault="0037425A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Oong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Komar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Filsafat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Nonformal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CV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Setia,2006)</w:t>
      </w:r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213</w:t>
      </w:r>
    </w:p>
    <w:p w:rsidR="0037425A" w:rsidRPr="0035477C" w:rsidRDefault="00E10389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Loren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2000)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818</w:t>
      </w:r>
    </w:p>
    <w:p w:rsidR="00E10389" w:rsidRPr="0035477C" w:rsidRDefault="00E10389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Sanapiah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Faisal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Hanafi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Nonformal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1992),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13-17</w:t>
      </w:r>
    </w:p>
    <w:p w:rsidR="00E10389" w:rsidRPr="0035477C" w:rsidRDefault="00E10389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Mundir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Thohi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i/>
          <w:sz w:val="24"/>
          <w:szCs w:val="24"/>
        </w:rPr>
        <w:t xml:space="preserve">Islam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Jama’ah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LDII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Doktrin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Jama’ah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Sosialisasinya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Membentuk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kesalehan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warga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LDII,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Kediri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Sukses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r w:rsidRPr="0035477C">
        <w:rPr>
          <w:rFonts w:asciiTheme="majorBidi" w:hAnsiTheme="majorBidi" w:cstheme="majorBidi"/>
          <w:i/>
          <w:sz w:val="24"/>
          <w:szCs w:val="24"/>
        </w:rPr>
        <w:t>Offset,</w:t>
      </w:r>
      <w:r w:rsidRPr="0035477C">
        <w:rPr>
          <w:rFonts w:asciiTheme="majorBidi" w:hAnsiTheme="majorBidi" w:cstheme="majorBidi"/>
          <w:sz w:val="24"/>
          <w:szCs w:val="24"/>
        </w:rPr>
        <w:t xml:space="preserve"> 2009),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66</w:t>
      </w:r>
    </w:p>
    <w:p w:rsidR="00E10389" w:rsidRPr="0035477C" w:rsidRDefault="00E10389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Abdurrahman Wahid,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Menggerakkan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Tradisi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Lkis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2010),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233</w:t>
      </w:r>
    </w:p>
    <w:p w:rsidR="00E10389" w:rsidRPr="0035477C" w:rsidRDefault="00E10389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Style w:val="FootnoteReference"/>
          <w:rFonts w:asciiTheme="majorBidi" w:hAnsiTheme="majorBidi" w:cstheme="majorBidi"/>
          <w:sz w:val="24"/>
          <w:szCs w:val="24"/>
        </w:rPr>
        <w:lastRenderedPageBreak/>
        <w:footnoteRef/>
      </w:r>
      <w:r w:rsidRPr="0035477C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Taufiq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Persepektif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Gender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Kyai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Pesantren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Memahami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Teks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Menurut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Relasi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Gender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Keluarga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Kediri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STAIN Kediri Pres, 2009)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6-7</w:t>
      </w:r>
    </w:p>
    <w:p w:rsidR="00E10389" w:rsidRPr="0035477C" w:rsidRDefault="00E10389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Sam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M.Chan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Tuti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T. Sam,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SWOT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Kebijakan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Era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Otonomi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Daerah</w:t>
      </w:r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2008),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119-120</w:t>
      </w:r>
    </w:p>
    <w:p w:rsidR="00DE5B75" w:rsidRPr="0035477C" w:rsidRDefault="00DE5B75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Otonomi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Kebijakan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Otonomi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Daerah Dan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Implementasinya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Terhadap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Penyelenggaraan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>,</w:t>
      </w:r>
      <w:r w:rsidRPr="0035477C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2007),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21</w:t>
      </w:r>
    </w:p>
    <w:p w:rsidR="00DE5B75" w:rsidRPr="0035477C" w:rsidRDefault="00DE5B75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Mustofa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Rembangy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</w:t>
      </w:r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Transformatif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Pergulatan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Kritis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Merumuskan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Tengah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Pasuran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Arus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Globalisai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2010),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8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Mujamil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Qomar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35477C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2007),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163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UU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32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2004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Daerah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2009),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100</w:t>
      </w:r>
    </w:p>
    <w:p w:rsidR="00DE5B75" w:rsidRPr="0035477C" w:rsidRDefault="00DE5B75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sz w:val="24"/>
          <w:szCs w:val="24"/>
        </w:rPr>
        <w:t xml:space="preserve"> R &amp; D</w:t>
      </w:r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( Bandung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Alfateta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2008),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223-224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Bima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1985),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128</w:t>
      </w:r>
    </w:p>
    <w:p w:rsidR="00DE5B75" w:rsidRPr="0035477C" w:rsidRDefault="00DE5B75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Rufam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(Bandung: UM Pres, 2005),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. 101 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lastRenderedPageBreak/>
        <w:t>Dedy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Mulyana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2003),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181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2004),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79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W.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Mantja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Etnografi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(Malang: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Winekn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Media, 2005),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57</w:t>
      </w:r>
    </w:p>
    <w:p w:rsidR="00DE5B75" w:rsidRPr="0035477C" w:rsidRDefault="00DE5B7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Matthew B. Miles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A. Michael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Huberman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Kualitati</w:t>
      </w:r>
      <w:r w:rsidRPr="0035477C">
        <w:rPr>
          <w:rFonts w:asciiTheme="majorBidi" w:hAnsiTheme="majorBidi" w:cstheme="majorBidi"/>
          <w:sz w:val="24"/>
          <w:szCs w:val="24"/>
        </w:rPr>
        <w:t>f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Metode-Metode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Tjetjep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Rohendi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Rohidi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Indonesia Press, 1992), 16-20.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Bandingkan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Sanapiah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Faisal, </w:t>
      </w:r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Format-Format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Press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,2001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256-257</w:t>
      </w:r>
    </w:p>
    <w:p w:rsidR="00DE5B75" w:rsidRPr="0035477C" w:rsidRDefault="00AA0045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Soettarlinah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Sukadji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Menyusun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Mengevaluasi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Laporan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35477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Indonesia Press, 2000), 44-45</w:t>
      </w:r>
    </w:p>
    <w:p w:rsidR="00AA0045" w:rsidRPr="0035477C" w:rsidRDefault="0035477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Zaini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Mucharom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Islam Di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Jawa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Santri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Abangan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Diniyah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2002),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57</w:t>
      </w:r>
    </w:p>
    <w:p w:rsidR="0035477C" w:rsidRPr="0035477C" w:rsidRDefault="0035477C" w:rsidP="0035477C">
      <w:pPr>
        <w:pStyle w:val="FootnoteText"/>
        <w:spacing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5477C"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Fu’adi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Kehidupan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Sufi</w:t>
      </w:r>
      <w:r w:rsidRPr="0035477C">
        <w:rPr>
          <w:rFonts w:asciiTheme="majorBidi" w:hAnsiTheme="majorBidi" w:cstheme="majorBidi"/>
          <w:sz w:val="24"/>
          <w:szCs w:val="24"/>
        </w:rPr>
        <w:t xml:space="preserve">, (Jakarta: PT.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, 2004), hal.79-80</w:t>
      </w:r>
    </w:p>
    <w:p w:rsidR="0035477C" w:rsidRPr="0035477C" w:rsidRDefault="0035477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477C">
        <w:rPr>
          <w:rFonts w:asciiTheme="majorBidi" w:hAnsiTheme="majorBidi" w:cstheme="majorBidi"/>
          <w:sz w:val="24"/>
          <w:szCs w:val="24"/>
        </w:rPr>
        <w:t>Rifa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Pengasuhan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5477C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35477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477C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Start"/>
      <w:r w:rsidRPr="0035477C">
        <w:rPr>
          <w:rFonts w:asciiTheme="majorBidi" w:hAnsiTheme="majorBidi" w:cstheme="majorBidi"/>
          <w:sz w:val="24"/>
          <w:szCs w:val="24"/>
        </w:rPr>
        <w:t>yogyakarta</w:t>
      </w:r>
      <w:proofErr w:type="spellEnd"/>
      <w:proofErr w:type="gramEnd"/>
      <w:r w:rsidRPr="0035477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Sukses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 xml:space="preserve"> Offset, 2009), </w:t>
      </w:r>
      <w:proofErr w:type="spellStart"/>
      <w:r w:rsidRPr="0035477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5477C">
        <w:rPr>
          <w:rFonts w:asciiTheme="majorBidi" w:hAnsiTheme="majorBidi" w:cstheme="majorBidi"/>
          <w:sz w:val="24"/>
          <w:szCs w:val="24"/>
        </w:rPr>
        <w:t>. 21-22</w:t>
      </w:r>
    </w:p>
    <w:p w:rsidR="0035477C" w:rsidRPr="0035477C" w:rsidRDefault="0035477C" w:rsidP="0035477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35477C" w:rsidRPr="0035477C" w:rsidSect="0035477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FEB"/>
    <w:rsid w:val="00001DD5"/>
    <w:rsid w:val="000048D0"/>
    <w:rsid w:val="00024F94"/>
    <w:rsid w:val="0002742E"/>
    <w:rsid w:val="000334EC"/>
    <w:rsid w:val="00053E44"/>
    <w:rsid w:val="000662BF"/>
    <w:rsid w:val="00070D15"/>
    <w:rsid w:val="00072F4A"/>
    <w:rsid w:val="00080B3E"/>
    <w:rsid w:val="00082051"/>
    <w:rsid w:val="00087736"/>
    <w:rsid w:val="000A0CBD"/>
    <w:rsid w:val="000A6432"/>
    <w:rsid w:val="000B29D1"/>
    <w:rsid w:val="000B7BCB"/>
    <w:rsid w:val="00100A93"/>
    <w:rsid w:val="00114620"/>
    <w:rsid w:val="001152C8"/>
    <w:rsid w:val="00120500"/>
    <w:rsid w:val="00131FBC"/>
    <w:rsid w:val="001329CF"/>
    <w:rsid w:val="001367F1"/>
    <w:rsid w:val="00137D27"/>
    <w:rsid w:val="00150B92"/>
    <w:rsid w:val="001521EA"/>
    <w:rsid w:val="00154630"/>
    <w:rsid w:val="00163138"/>
    <w:rsid w:val="00171D05"/>
    <w:rsid w:val="00174C1B"/>
    <w:rsid w:val="0018581B"/>
    <w:rsid w:val="00190C98"/>
    <w:rsid w:val="0019681A"/>
    <w:rsid w:val="001B0802"/>
    <w:rsid w:val="001B2CDF"/>
    <w:rsid w:val="001B2EDA"/>
    <w:rsid w:val="001B317F"/>
    <w:rsid w:val="001C35A7"/>
    <w:rsid w:val="001C41C1"/>
    <w:rsid w:val="001C49C5"/>
    <w:rsid w:val="001C54ED"/>
    <w:rsid w:val="001C7A4E"/>
    <w:rsid w:val="001D7044"/>
    <w:rsid w:val="001E43E4"/>
    <w:rsid w:val="001F6AB7"/>
    <w:rsid w:val="00211035"/>
    <w:rsid w:val="002128B8"/>
    <w:rsid w:val="00216536"/>
    <w:rsid w:val="00221093"/>
    <w:rsid w:val="00226164"/>
    <w:rsid w:val="00230CB0"/>
    <w:rsid w:val="00235185"/>
    <w:rsid w:val="00244056"/>
    <w:rsid w:val="00244432"/>
    <w:rsid w:val="00255AE9"/>
    <w:rsid w:val="00260D51"/>
    <w:rsid w:val="00275D22"/>
    <w:rsid w:val="00281AAF"/>
    <w:rsid w:val="002B1410"/>
    <w:rsid w:val="002C0228"/>
    <w:rsid w:val="002C5FD4"/>
    <w:rsid w:val="002D4CA1"/>
    <w:rsid w:val="002D6862"/>
    <w:rsid w:val="002E7CB5"/>
    <w:rsid w:val="002F1EEB"/>
    <w:rsid w:val="0030784C"/>
    <w:rsid w:val="00313E79"/>
    <w:rsid w:val="0031500C"/>
    <w:rsid w:val="0031547D"/>
    <w:rsid w:val="00315C33"/>
    <w:rsid w:val="00317A8F"/>
    <w:rsid w:val="003215FF"/>
    <w:rsid w:val="00335100"/>
    <w:rsid w:val="00344128"/>
    <w:rsid w:val="00350457"/>
    <w:rsid w:val="00351063"/>
    <w:rsid w:val="0035477C"/>
    <w:rsid w:val="003664BA"/>
    <w:rsid w:val="003715FB"/>
    <w:rsid w:val="0037425A"/>
    <w:rsid w:val="003827F3"/>
    <w:rsid w:val="003A07B8"/>
    <w:rsid w:val="003A45F5"/>
    <w:rsid w:val="003B3143"/>
    <w:rsid w:val="003B4ACA"/>
    <w:rsid w:val="003C56B2"/>
    <w:rsid w:val="003D1AFE"/>
    <w:rsid w:val="003D4D06"/>
    <w:rsid w:val="003D51DB"/>
    <w:rsid w:val="003D79E0"/>
    <w:rsid w:val="004043FD"/>
    <w:rsid w:val="0040583B"/>
    <w:rsid w:val="00423A6C"/>
    <w:rsid w:val="00426564"/>
    <w:rsid w:val="00437203"/>
    <w:rsid w:val="004534CD"/>
    <w:rsid w:val="004554B9"/>
    <w:rsid w:val="00463905"/>
    <w:rsid w:val="00466769"/>
    <w:rsid w:val="00470339"/>
    <w:rsid w:val="00470C44"/>
    <w:rsid w:val="00471E33"/>
    <w:rsid w:val="00492E3A"/>
    <w:rsid w:val="00492E4D"/>
    <w:rsid w:val="00494BCE"/>
    <w:rsid w:val="004A7B76"/>
    <w:rsid w:val="004D0C9C"/>
    <w:rsid w:val="004D322B"/>
    <w:rsid w:val="004D3326"/>
    <w:rsid w:val="004D565A"/>
    <w:rsid w:val="004E34A8"/>
    <w:rsid w:val="004E7A88"/>
    <w:rsid w:val="004F10C6"/>
    <w:rsid w:val="00500F5E"/>
    <w:rsid w:val="0051190A"/>
    <w:rsid w:val="005122EC"/>
    <w:rsid w:val="00515229"/>
    <w:rsid w:val="00526FC2"/>
    <w:rsid w:val="00530102"/>
    <w:rsid w:val="0053038C"/>
    <w:rsid w:val="00542BFD"/>
    <w:rsid w:val="00545AD0"/>
    <w:rsid w:val="0055113B"/>
    <w:rsid w:val="005618BB"/>
    <w:rsid w:val="005637E9"/>
    <w:rsid w:val="0056640F"/>
    <w:rsid w:val="0057759D"/>
    <w:rsid w:val="00585A0D"/>
    <w:rsid w:val="00585BDF"/>
    <w:rsid w:val="00587418"/>
    <w:rsid w:val="00590BDA"/>
    <w:rsid w:val="005A565C"/>
    <w:rsid w:val="005B07AF"/>
    <w:rsid w:val="005D2ACB"/>
    <w:rsid w:val="005D452B"/>
    <w:rsid w:val="005E68CE"/>
    <w:rsid w:val="00610158"/>
    <w:rsid w:val="006105B1"/>
    <w:rsid w:val="00611D7D"/>
    <w:rsid w:val="006122C9"/>
    <w:rsid w:val="00620FD6"/>
    <w:rsid w:val="006268D6"/>
    <w:rsid w:val="0063012B"/>
    <w:rsid w:val="006449F8"/>
    <w:rsid w:val="006470DF"/>
    <w:rsid w:val="00647498"/>
    <w:rsid w:val="00660564"/>
    <w:rsid w:val="00660DFC"/>
    <w:rsid w:val="00660F48"/>
    <w:rsid w:val="00671C01"/>
    <w:rsid w:val="00673585"/>
    <w:rsid w:val="00687E6B"/>
    <w:rsid w:val="00694749"/>
    <w:rsid w:val="006A0BCE"/>
    <w:rsid w:val="006A3BCA"/>
    <w:rsid w:val="006B092B"/>
    <w:rsid w:val="006B4D82"/>
    <w:rsid w:val="006B565D"/>
    <w:rsid w:val="006C53D0"/>
    <w:rsid w:val="006D3A9A"/>
    <w:rsid w:val="006D7655"/>
    <w:rsid w:val="006E699F"/>
    <w:rsid w:val="00700BF2"/>
    <w:rsid w:val="00721674"/>
    <w:rsid w:val="00723D43"/>
    <w:rsid w:val="007330F9"/>
    <w:rsid w:val="00743C09"/>
    <w:rsid w:val="007639B6"/>
    <w:rsid w:val="00772158"/>
    <w:rsid w:val="007800B6"/>
    <w:rsid w:val="00785261"/>
    <w:rsid w:val="00791959"/>
    <w:rsid w:val="00795149"/>
    <w:rsid w:val="0079635D"/>
    <w:rsid w:val="007964AF"/>
    <w:rsid w:val="007A6440"/>
    <w:rsid w:val="007A6FEB"/>
    <w:rsid w:val="007B267D"/>
    <w:rsid w:val="007B3B68"/>
    <w:rsid w:val="007C4814"/>
    <w:rsid w:val="007C5DA2"/>
    <w:rsid w:val="007E05F5"/>
    <w:rsid w:val="007E46E6"/>
    <w:rsid w:val="007F03B5"/>
    <w:rsid w:val="007F6D81"/>
    <w:rsid w:val="00800648"/>
    <w:rsid w:val="00804A62"/>
    <w:rsid w:val="00806C61"/>
    <w:rsid w:val="00807C04"/>
    <w:rsid w:val="008127FF"/>
    <w:rsid w:val="00822D85"/>
    <w:rsid w:val="00837052"/>
    <w:rsid w:val="008579F8"/>
    <w:rsid w:val="008858D7"/>
    <w:rsid w:val="00886CED"/>
    <w:rsid w:val="008905CC"/>
    <w:rsid w:val="008971CD"/>
    <w:rsid w:val="008A7E62"/>
    <w:rsid w:val="008B3364"/>
    <w:rsid w:val="008C1FA8"/>
    <w:rsid w:val="008C5917"/>
    <w:rsid w:val="008D1AE3"/>
    <w:rsid w:val="008F330D"/>
    <w:rsid w:val="008F33EE"/>
    <w:rsid w:val="008F5064"/>
    <w:rsid w:val="00917865"/>
    <w:rsid w:val="00930386"/>
    <w:rsid w:val="009355FB"/>
    <w:rsid w:val="009379F9"/>
    <w:rsid w:val="00947B78"/>
    <w:rsid w:val="00952EF7"/>
    <w:rsid w:val="009541F2"/>
    <w:rsid w:val="00966F7B"/>
    <w:rsid w:val="0098064E"/>
    <w:rsid w:val="0098665A"/>
    <w:rsid w:val="00991449"/>
    <w:rsid w:val="00991761"/>
    <w:rsid w:val="009952B6"/>
    <w:rsid w:val="00996894"/>
    <w:rsid w:val="009A01CD"/>
    <w:rsid w:val="009A3A7A"/>
    <w:rsid w:val="009A6F63"/>
    <w:rsid w:val="009A7ADA"/>
    <w:rsid w:val="009A7D20"/>
    <w:rsid w:val="009B3C66"/>
    <w:rsid w:val="009B5FFD"/>
    <w:rsid w:val="009C395E"/>
    <w:rsid w:val="009D57C5"/>
    <w:rsid w:val="009E1101"/>
    <w:rsid w:val="009E2E25"/>
    <w:rsid w:val="009E3382"/>
    <w:rsid w:val="009F0B08"/>
    <w:rsid w:val="00A03EDC"/>
    <w:rsid w:val="00A10768"/>
    <w:rsid w:val="00A11EED"/>
    <w:rsid w:val="00A1796E"/>
    <w:rsid w:val="00A37EF8"/>
    <w:rsid w:val="00A40A2A"/>
    <w:rsid w:val="00A41274"/>
    <w:rsid w:val="00A43407"/>
    <w:rsid w:val="00A44EA4"/>
    <w:rsid w:val="00A47755"/>
    <w:rsid w:val="00A50008"/>
    <w:rsid w:val="00A52324"/>
    <w:rsid w:val="00A52919"/>
    <w:rsid w:val="00A54CF1"/>
    <w:rsid w:val="00A63D2A"/>
    <w:rsid w:val="00A63ED5"/>
    <w:rsid w:val="00A649C7"/>
    <w:rsid w:val="00A67FF1"/>
    <w:rsid w:val="00A85A1B"/>
    <w:rsid w:val="00A92008"/>
    <w:rsid w:val="00AA0045"/>
    <w:rsid w:val="00AA19F1"/>
    <w:rsid w:val="00AA75FE"/>
    <w:rsid w:val="00AB4406"/>
    <w:rsid w:val="00AC0A26"/>
    <w:rsid w:val="00AC5719"/>
    <w:rsid w:val="00AC7944"/>
    <w:rsid w:val="00AD0452"/>
    <w:rsid w:val="00AD10D3"/>
    <w:rsid w:val="00AD3F17"/>
    <w:rsid w:val="00AD72DA"/>
    <w:rsid w:val="00AE0338"/>
    <w:rsid w:val="00AE0AED"/>
    <w:rsid w:val="00AE69D9"/>
    <w:rsid w:val="00AE73B4"/>
    <w:rsid w:val="00AE7446"/>
    <w:rsid w:val="00B0178C"/>
    <w:rsid w:val="00B10C06"/>
    <w:rsid w:val="00B165FB"/>
    <w:rsid w:val="00B17C74"/>
    <w:rsid w:val="00B2361C"/>
    <w:rsid w:val="00B2623D"/>
    <w:rsid w:val="00B26E25"/>
    <w:rsid w:val="00B455F7"/>
    <w:rsid w:val="00B5037A"/>
    <w:rsid w:val="00B6651D"/>
    <w:rsid w:val="00B7030A"/>
    <w:rsid w:val="00B70597"/>
    <w:rsid w:val="00B7316E"/>
    <w:rsid w:val="00B747A5"/>
    <w:rsid w:val="00B76084"/>
    <w:rsid w:val="00B834CD"/>
    <w:rsid w:val="00BA2C8F"/>
    <w:rsid w:val="00BA5FF7"/>
    <w:rsid w:val="00BA6618"/>
    <w:rsid w:val="00BB2867"/>
    <w:rsid w:val="00BB3B56"/>
    <w:rsid w:val="00BC0850"/>
    <w:rsid w:val="00BC10DE"/>
    <w:rsid w:val="00BC229B"/>
    <w:rsid w:val="00BC6B78"/>
    <w:rsid w:val="00BD001F"/>
    <w:rsid w:val="00BD05E0"/>
    <w:rsid w:val="00BD1AF1"/>
    <w:rsid w:val="00BD51FB"/>
    <w:rsid w:val="00BD7841"/>
    <w:rsid w:val="00BD7C75"/>
    <w:rsid w:val="00BE5851"/>
    <w:rsid w:val="00C279F8"/>
    <w:rsid w:val="00C40AF1"/>
    <w:rsid w:val="00C46732"/>
    <w:rsid w:val="00C47025"/>
    <w:rsid w:val="00C71C7B"/>
    <w:rsid w:val="00C74747"/>
    <w:rsid w:val="00C8018F"/>
    <w:rsid w:val="00C9489F"/>
    <w:rsid w:val="00CA0EEE"/>
    <w:rsid w:val="00CA3762"/>
    <w:rsid w:val="00CB1C29"/>
    <w:rsid w:val="00CB2D05"/>
    <w:rsid w:val="00CE0628"/>
    <w:rsid w:val="00CF10DA"/>
    <w:rsid w:val="00CF1548"/>
    <w:rsid w:val="00CF1E39"/>
    <w:rsid w:val="00D03D18"/>
    <w:rsid w:val="00D0703F"/>
    <w:rsid w:val="00D10D54"/>
    <w:rsid w:val="00D1195A"/>
    <w:rsid w:val="00D24529"/>
    <w:rsid w:val="00D37853"/>
    <w:rsid w:val="00D37A54"/>
    <w:rsid w:val="00D428A3"/>
    <w:rsid w:val="00D429B6"/>
    <w:rsid w:val="00D6528C"/>
    <w:rsid w:val="00D67D5C"/>
    <w:rsid w:val="00D714C3"/>
    <w:rsid w:val="00D72C7A"/>
    <w:rsid w:val="00D91C44"/>
    <w:rsid w:val="00DA76ED"/>
    <w:rsid w:val="00DB3F1D"/>
    <w:rsid w:val="00DD086D"/>
    <w:rsid w:val="00DD35A6"/>
    <w:rsid w:val="00DD662C"/>
    <w:rsid w:val="00DD7938"/>
    <w:rsid w:val="00DE4687"/>
    <w:rsid w:val="00DE49AA"/>
    <w:rsid w:val="00DE5B75"/>
    <w:rsid w:val="00E0691A"/>
    <w:rsid w:val="00E10389"/>
    <w:rsid w:val="00E32E62"/>
    <w:rsid w:val="00E359D2"/>
    <w:rsid w:val="00E47616"/>
    <w:rsid w:val="00E52FAC"/>
    <w:rsid w:val="00E52FFE"/>
    <w:rsid w:val="00E571A7"/>
    <w:rsid w:val="00E64CD7"/>
    <w:rsid w:val="00E7434C"/>
    <w:rsid w:val="00E76FC9"/>
    <w:rsid w:val="00E845DD"/>
    <w:rsid w:val="00E91758"/>
    <w:rsid w:val="00E95F58"/>
    <w:rsid w:val="00EA7164"/>
    <w:rsid w:val="00EB2E02"/>
    <w:rsid w:val="00EB4134"/>
    <w:rsid w:val="00EB4374"/>
    <w:rsid w:val="00EC285A"/>
    <w:rsid w:val="00ED02F5"/>
    <w:rsid w:val="00EE5512"/>
    <w:rsid w:val="00F103FF"/>
    <w:rsid w:val="00F47380"/>
    <w:rsid w:val="00F57F18"/>
    <w:rsid w:val="00F62178"/>
    <w:rsid w:val="00F62E8B"/>
    <w:rsid w:val="00F63A47"/>
    <w:rsid w:val="00F661E9"/>
    <w:rsid w:val="00F73B13"/>
    <w:rsid w:val="00F742BC"/>
    <w:rsid w:val="00F748B8"/>
    <w:rsid w:val="00F849FE"/>
    <w:rsid w:val="00FA5F65"/>
    <w:rsid w:val="00FA767C"/>
    <w:rsid w:val="00FB2EB8"/>
    <w:rsid w:val="00FC200C"/>
    <w:rsid w:val="00FC4540"/>
    <w:rsid w:val="00FD1881"/>
    <w:rsid w:val="00FE2C70"/>
    <w:rsid w:val="00FE3B87"/>
    <w:rsid w:val="00FE4F38"/>
    <w:rsid w:val="00FE5B02"/>
    <w:rsid w:val="00FF0CD8"/>
    <w:rsid w:val="00FF3D74"/>
    <w:rsid w:val="00FF5B3D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6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F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1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harsputra.wordpress.com/pendidikan/pendidikan-nonformal/" TargetMode="External"/><Relationship Id="rId4" Type="http://schemas.openxmlformats.org/officeDocument/2006/relationships/hyperlink" Target="http://iwak-pithik.blogspot.com/2012/03/sejarah-masuknya-islam-ke-indones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2012-05-01T06:21:00Z</dcterms:created>
  <dcterms:modified xsi:type="dcterms:W3CDTF">2012-06-15T14:57:00Z</dcterms:modified>
</cp:coreProperties>
</file>